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image/svg+xml" Extension="svg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footer+xml" PartName="/word/footer1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pPr>
        <w:spacing w:after="80"/>
        <w:jc w:val="center"/>
      </w:pPr>
      <w:r>
        <w:rPr>
          <w:rFonts w:ascii="Arial" w:cs="Arial" w:eastAsia="Arial" w:hAnsi="Arial"/>
          <w:b/>
          <w:bCs/>
          <w:color w:val="6B21A8"/>
          <w:sz w:val="36"/>
          <w:szCs w:val="36"/>
        </w:rPr>
        <w:t xml:space="preserve">INCIDENT RESPONSE POLICY</w:t>
      </w:r>
    </w:p>
    <w:p>
      <w:pPr>
        <w:spacing w:after="300"/>
        <w:jc w:val="center"/>
      </w:pPr>
      <w:r>
        <w:rPr>
          <w:rFonts w:ascii="Arial" w:cs="Arial" w:eastAsia="Arial" w:hAnsi="Arial"/>
          <w:color w:val="4B5563"/>
          <w:sz w:val="26"/>
          <w:szCs w:val="26"/>
        </w:rPr>
        <w:t xml:space="preserve">Metal Finishing Calculator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2800"/>
        <w:gridCol w:w="6560"/>
      </w:tblGrid>
      <w:tr>
        <w:tc>
          <w:tcPr>
            <w:tcW w:type="dxa" w:w="28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left"/>
            </w:pPr>
            <w:r>
              <w:rPr>
                <w:rFonts w:ascii="Arial" w:cs="Arial" w:eastAsia="Arial" w:hAnsi="Arial"/>
                <w:b/>
                <w:bCs/>
                <w:color w:val="000000"/>
                <w:sz w:val="20"/>
                <w:szCs w:val="20"/>
              </w:rPr>
              <w:t xml:space="preserve">Document Number:</w:t>
            </w:r>
          </w:p>
        </w:tc>
        <w:tc>
          <w:tcPr>
            <w:tcW w:type="dxa" w:w="65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left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20"/>
                <w:szCs w:val="20"/>
              </w:rPr>
              <w:t xml:space="preserve">MFC-IRP-001</w:t>
            </w:r>
          </w:p>
        </w:tc>
      </w:tr>
      <w:tr>
        <w:tc>
          <w:tcPr>
            <w:tcW w:type="dxa" w:w="28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left"/>
            </w:pPr>
            <w:r>
              <w:rPr>
                <w:rFonts w:ascii="Arial" w:cs="Arial" w:eastAsia="Arial" w:hAnsi="Arial"/>
                <w:b/>
                <w:bCs/>
                <w:color w:val="000000"/>
                <w:sz w:val="20"/>
                <w:szCs w:val="20"/>
              </w:rPr>
              <w:t xml:space="preserve">Version:</w:t>
            </w:r>
          </w:p>
        </w:tc>
        <w:tc>
          <w:tcPr>
            <w:tcW w:type="dxa" w:w="65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left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20"/>
                <w:szCs w:val="20"/>
              </w:rPr>
              <w:t xml:space="preserve">1.0</w:t>
            </w:r>
          </w:p>
        </w:tc>
      </w:tr>
      <w:tr>
        <w:tc>
          <w:tcPr>
            <w:tcW w:type="dxa" w:w="28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left"/>
            </w:pPr>
            <w:r>
              <w:rPr>
                <w:rFonts w:ascii="Arial" w:cs="Arial" w:eastAsia="Arial" w:hAnsi="Arial"/>
                <w:b/>
                <w:bCs/>
                <w:color w:val="000000"/>
                <w:sz w:val="20"/>
                <w:szCs w:val="20"/>
              </w:rPr>
              <w:t xml:space="preserve">Effective Date:</w:t>
            </w:r>
          </w:p>
        </w:tc>
        <w:tc>
          <w:tcPr>
            <w:tcW w:type="dxa" w:w="65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left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20"/>
                <w:szCs w:val="20"/>
              </w:rPr>
              <w:t xml:space="preserve">January 30, 2026</w:t>
            </w:r>
          </w:p>
        </w:tc>
      </w:tr>
      <w:tr>
        <w:tc>
          <w:tcPr>
            <w:tcW w:type="dxa" w:w="28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left"/>
            </w:pPr>
            <w:r>
              <w:rPr>
                <w:rFonts w:ascii="Arial" w:cs="Arial" w:eastAsia="Arial" w:hAnsi="Arial"/>
                <w:b/>
                <w:bCs/>
                <w:color w:val="000000"/>
                <w:sz w:val="20"/>
                <w:szCs w:val="20"/>
              </w:rPr>
              <w:t xml:space="preserve">Last Review:</w:t>
            </w:r>
          </w:p>
        </w:tc>
        <w:tc>
          <w:tcPr>
            <w:tcW w:type="dxa" w:w="65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left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20"/>
                <w:szCs w:val="20"/>
              </w:rPr>
              <w:t xml:space="preserve">January 30, 2026</w:t>
            </w:r>
          </w:p>
        </w:tc>
      </w:tr>
      <w:tr>
        <w:tc>
          <w:tcPr>
            <w:tcW w:type="dxa" w:w="28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left"/>
            </w:pPr>
            <w:r>
              <w:rPr>
                <w:rFonts w:ascii="Arial" w:cs="Arial" w:eastAsia="Arial" w:hAnsi="Arial"/>
                <w:b/>
                <w:bCs/>
                <w:color w:val="000000"/>
                <w:sz w:val="20"/>
                <w:szCs w:val="20"/>
              </w:rPr>
              <w:t xml:space="preserve">Owner:</w:t>
            </w:r>
          </w:p>
        </w:tc>
        <w:tc>
          <w:tcPr>
            <w:tcW w:type="dxa" w:w="65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left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20"/>
                <w:szCs w:val="20"/>
              </w:rPr>
              <w:t xml:space="preserve">Psyrcuit LLC</w:t>
            </w:r>
          </w:p>
        </w:tc>
      </w:tr>
    </w:tbl>
    <w:p>
      <w:pPr>
        <w:spacing w:before="300"/>
      </w:pPr>
    </w:p>
    <w:p>
      <w:pPr>
        <w:pStyle w:val="Heading1"/>
      </w:pPr>
      <w:r>
        <w:t xml:space="preserve">1. Purpose &amp; Scope</w:t>
      </w:r>
    </w:p>
    <w:p>
      <w:pPr>
        <w:spacing w:after="150"/>
      </w:pPr>
      <w:r>
        <w:rPr>
          <w:rFonts w:ascii="Arial" w:cs="Arial" w:eastAsia="Arial" w:hAnsi="Arial"/>
          <w:sz w:val="20"/>
          <w:szCs w:val="20"/>
        </w:rPr>
        <w:t xml:space="preserve">This policy defines Psyrcuit LLC's procedures for identifying, responding to, and communicating security incidents affecting Metal Finishing Calculator. Due to the application's offline architecture, incident scope is limited to: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9360"/>
      </w:tblGrid>
      <w:tr>
        <w:tc>
          <w:tcPr>
            <w:tcW w:type="dxa" w:w="93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9FAFB" w:val="clear"/>
            <w:tcMar>
              <w:top w:type="dxa" w:w="100"/>
              <w:left w:type="dxa" w:w="200"/>
              <w:bottom w:type="dxa" w:w="100"/>
              <w:right w:type="dxa" w:w="200"/>
            </w:tcMar>
          </w:tcPr>
          <w:p>
            <w:r>
              <w:rPr>
                <w:rFonts w:ascii="Arial" w:cs="Arial" w:eastAsia="Arial" w:hAnsi="Arial"/>
                <w:sz w:val="20"/>
                <w:szCs w:val="20"/>
              </w:rPr>
              <w:t xml:space="preserve">• Vulnerabilities discovered in application code or bundled components</w:t>
            </w:r>
          </w:p>
          <w:p>
            <w:r>
              <w:rPr>
                <w:rFonts w:ascii="Arial" w:cs="Arial" w:eastAsia="Arial" w:hAnsi="Arial"/>
                <w:sz w:val="20"/>
                <w:szCs w:val="20"/>
              </w:rPr>
              <w:t xml:space="preserve">• Security issues in third-party dependencies (React, Electron, etc.)</w:t>
            </w:r>
          </w:p>
          <w:p>
            <w:r>
              <w:rPr>
                <w:rFonts w:ascii="Arial" w:cs="Arial" w:eastAsia="Arial" w:hAnsi="Arial"/>
                <w:sz w:val="20"/>
                <w:szCs w:val="20"/>
              </w:rPr>
              <w:t xml:space="preserve">• Malicious tampering of distributed application files</w:t>
            </w:r>
          </w:p>
          <w:p>
            <w:r>
              <w:rPr>
                <w:rFonts w:ascii="Arial" w:cs="Arial" w:eastAsia="Arial" w:hAnsi="Arial"/>
                <w:sz w:val="20"/>
                <w:szCs w:val="20"/>
              </w:rPr>
              <w:t xml:space="preserve">• Compromise of Psyrcuit's build or distribution systems</w:t>
            </w:r>
          </w:p>
        </w:tc>
      </w:tr>
    </w:tbl>
    <w:p>
      <w:pPr>
        <w:spacing w:before="150"/>
      </w:pP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9360"/>
      </w:tblGrid>
      <w:tr>
        <w:tc>
          <w:tcPr>
            <w:tcW w:type="dxa" w:w="9360"/>
            <w:tcBorders>
              <w:top w:val="single" w:color="2563EB" w:sz="2"/>
              <w:left w:val="single" w:color="2563EB" w:sz="2"/>
              <w:bottom w:val="single" w:color="2563EB" w:sz="2"/>
              <w:right w:val="single" w:color="2563EB" w:sz="2"/>
            </w:tcBorders>
            <w:shd w:fill="EFF6FF" w:val="clear"/>
            <w:tcMar>
              <w:top w:type="dxa" w:w="100"/>
              <w:left w:type="dxa" w:w="150"/>
              <w:bottom w:type="dxa" w:w="100"/>
              <w:right w:type="dxa" w:w="150"/>
            </w:tcMar>
          </w:tcPr>
          <w:p>
            <w:r>
              <w:rPr>
                <w:rFonts w:ascii="Arial" w:cs="Arial" w:eastAsia="Arial" w:hAnsi="Arial"/>
                <w:b/>
                <w:bCs/>
                <w:color w:val="2563EB"/>
                <w:sz w:val="20"/>
                <w:szCs w:val="20"/>
              </w:rPr>
              <w:t xml:space="preserve">Note: </w:t>
            </w:r>
            <w:r>
              <w:rPr>
                <w:rFonts w:ascii="Arial" w:cs="Arial" w:eastAsia="Arial" w:hAnsi="Arial"/>
                <w:sz w:val="20"/>
                <w:szCs w:val="20"/>
              </w:rPr>
              <w:t xml:space="preserve">Because Metal Finishing Calculator is 100% offline with no network connectivity, data breaches involving customer data are not possible through the application. Psyrcuit has no access to customer data.</w:t>
            </w:r>
          </w:p>
        </w:tc>
      </w:tr>
    </w:tbl>
    <w:p>
      <w:pPr>
        <w:spacing w:before="300"/>
      </w:pPr>
    </w:p>
    <w:p>
      <w:pPr>
        <w:pStyle w:val="Heading1"/>
      </w:pPr>
      <w:r>
        <w:t xml:space="preserve">2. Severity Classification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400"/>
        <w:gridCol w:w="4200"/>
        <w:gridCol w:w="3760"/>
      </w:tblGrid>
      <w:tr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20"/>
                <w:szCs w:val="20"/>
              </w:rPr>
              <w:t xml:space="preserve">Severity</w:t>
            </w:r>
          </w:p>
        </w:tc>
        <w:tc>
          <w:tcPr>
            <w:tcW w:type="dxa" w:w="4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20"/>
                <w:szCs w:val="20"/>
              </w:rPr>
              <w:t xml:space="preserve">Definition</w:t>
            </w:r>
          </w:p>
        </w:tc>
        <w:tc>
          <w:tcPr>
            <w:tcW w:type="dxa" w:w="3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20"/>
                <w:szCs w:val="20"/>
              </w:rPr>
              <w:t xml:space="preserve">Example</w:t>
            </w:r>
          </w:p>
        </w:tc>
      </w:tr>
      <w:tr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EE2E2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DC2626"/>
                <w:sz w:val="20"/>
                <w:szCs w:val="20"/>
              </w:rPr>
              <w:t xml:space="preserve">Critical</w:t>
            </w:r>
          </w:p>
        </w:tc>
        <w:tc>
          <w:tcPr>
            <w:tcW w:type="dxa" w:w="4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left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20"/>
                <w:szCs w:val="20"/>
              </w:rPr>
              <w:t xml:space="preserve">Active exploitation or vulnerability enabling remote code execution, data exfiltration, or complete system compromise</w:t>
            </w:r>
          </w:p>
        </w:tc>
        <w:tc>
          <w:tcPr>
            <w:tcW w:type="dxa" w:w="3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left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20"/>
                <w:szCs w:val="20"/>
              </w:rPr>
              <w:t xml:space="preserve">Malicious code in distributed binary; RCE in Electron/Chromium affecting MFC</w:t>
            </w:r>
          </w:p>
        </w:tc>
      </w:tr>
      <w:tr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EDD5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D97706"/>
                <w:sz w:val="20"/>
                <w:szCs w:val="20"/>
              </w:rPr>
              <w:t xml:space="preserve">High</w:t>
            </w:r>
          </w:p>
        </w:tc>
        <w:tc>
          <w:tcPr>
            <w:tcW w:type="dxa" w:w="4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left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20"/>
                <w:szCs w:val="20"/>
              </w:rPr>
              <w:t xml:space="preserve">Significant vulnerability with clear path to exploitation but no evidence of active exploitation</w:t>
            </w:r>
          </w:p>
        </w:tc>
        <w:tc>
          <w:tcPr>
            <w:tcW w:type="dxa" w:w="3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left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20"/>
                <w:szCs w:val="20"/>
              </w:rPr>
              <w:t xml:space="preserve">Privilege escalation; bypass of Electron sandbox; critical dependency CVE</w:t>
            </w:r>
          </w:p>
        </w:tc>
      </w:tr>
      <w:tr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EF3C7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B45309"/>
                <w:sz w:val="20"/>
                <w:szCs w:val="20"/>
              </w:rPr>
              <w:t xml:space="preserve">Medium</w:t>
            </w:r>
          </w:p>
        </w:tc>
        <w:tc>
          <w:tcPr>
            <w:tcW w:type="dxa" w:w="4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left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20"/>
                <w:szCs w:val="20"/>
              </w:rPr>
              <w:t xml:space="preserve">Moderate vulnerability requiring specific conditions or user interaction</w:t>
            </w:r>
          </w:p>
        </w:tc>
        <w:tc>
          <w:tcPr>
            <w:tcW w:type="dxa" w:w="3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left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20"/>
                <w:szCs w:val="20"/>
              </w:rPr>
              <w:t xml:space="preserve">XSS requiring user to load malicious file; medium-severity dependency CVE</w:t>
            </w:r>
          </w:p>
        </w:tc>
      </w:tr>
      <w:tr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BEAFE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20"/>
                <w:szCs w:val="20"/>
              </w:rPr>
              <w:t xml:space="preserve">Low</w:t>
            </w:r>
          </w:p>
        </w:tc>
        <w:tc>
          <w:tcPr>
            <w:tcW w:type="dxa" w:w="4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left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20"/>
                <w:szCs w:val="20"/>
              </w:rPr>
              <w:t xml:space="preserve">Minor issue with minimal security impact</w:t>
            </w:r>
          </w:p>
        </w:tc>
        <w:tc>
          <w:tcPr>
            <w:tcW w:type="dxa" w:w="3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left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20"/>
                <w:szCs w:val="20"/>
              </w:rPr>
              <w:t xml:space="preserve">Information disclosure of non-sensitive data; minor dependency update</w:t>
            </w:r>
          </w:p>
        </w:tc>
      </w:tr>
    </w:tbl>
    <w:p>
      <w:pPr>
        <w:spacing w:before="300"/>
      </w:pPr>
    </w:p>
    <w:p>
      <w:pPr>
        <w:pStyle w:val="Heading1"/>
      </w:pPr>
      <w:r>
        <w:t xml:space="preserve">3. Response Procedures</w:t>
      </w:r>
    </w:p>
    <w:p>
      <w:pPr>
        <w:pStyle w:val="Heading2"/>
      </w:pPr>
      <w:r>
        <w:t xml:space="preserve">3.1 Detection &amp; Reporting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2400"/>
        <w:gridCol w:w="6960"/>
      </w:tblGrid>
      <w:tr>
        <w:tc>
          <w:tcPr>
            <w:tcW w:type="dxa" w:w="2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left"/>
            </w:pPr>
            <w:r>
              <w:rPr>
                <w:rFonts w:ascii="Arial" w:cs="Arial" w:eastAsia="Arial" w:hAnsi="Arial"/>
                <w:b/>
                <w:bCs/>
                <w:color w:val="000000"/>
                <w:sz w:val="20"/>
                <w:szCs w:val="20"/>
              </w:rPr>
              <w:t xml:space="preserve">Internal Discovery:</w:t>
            </w:r>
          </w:p>
        </w:tc>
        <w:tc>
          <w:tcPr>
            <w:tcW w:type="dxa" w:w="69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left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20"/>
                <w:szCs w:val="20"/>
              </w:rPr>
              <w:t xml:space="preserve">Security issues found during development, testing, or dependency monitoring are logged immediately in the internal tracking system.</w:t>
            </w:r>
          </w:p>
        </w:tc>
      </w:tr>
      <w:tr>
        <w:tc>
          <w:tcPr>
            <w:tcW w:type="dxa" w:w="2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left"/>
            </w:pPr>
            <w:r>
              <w:rPr>
                <w:rFonts w:ascii="Arial" w:cs="Arial" w:eastAsia="Arial" w:hAnsi="Arial"/>
                <w:b/>
                <w:bCs/>
                <w:color w:val="000000"/>
                <w:sz w:val="20"/>
                <w:szCs w:val="20"/>
              </w:rPr>
              <w:t xml:space="preserve">External Reports:</w:t>
            </w:r>
          </w:p>
        </w:tc>
        <w:tc>
          <w:tcPr>
            <w:tcW w:type="dxa" w:w="69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left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20"/>
                <w:szCs w:val="20"/>
              </w:rPr>
              <w:t xml:space="preserve">Customers and researchers report vulnerabilities to security@psyrcuit.com. Acknowledgment within 48 hours.</w:t>
            </w:r>
          </w:p>
        </w:tc>
      </w:tr>
      <w:tr>
        <w:tc>
          <w:tcPr>
            <w:tcW w:type="dxa" w:w="2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left"/>
            </w:pPr>
            <w:r>
              <w:rPr>
                <w:rFonts w:ascii="Arial" w:cs="Arial" w:eastAsia="Arial" w:hAnsi="Arial"/>
                <w:b/>
                <w:bCs/>
                <w:color w:val="000000"/>
                <w:sz w:val="20"/>
                <w:szCs w:val="20"/>
              </w:rPr>
              <w:t xml:space="preserve">Dependency Alerts:</w:t>
            </w:r>
          </w:p>
        </w:tc>
        <w:tc>
          <w:tcPr>
            <w:tcW w:type="dxa" w:w="69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left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20"/>
                <w:szCs w:val="20"/>
              </w:rPr>
              <w:t xml:space="preserve">Automated monitoring via npm audit and NVD subscriptions. Alerts reviewed within 24 hours.</w:t>
            </w:r>
          </w:p>
        </w:tc>
      </w:tr>
    </w:tbl>
    <w:p>
      <w:pPr>
        <w:spacing w:before="200"/>
      </w:pPr>
    </w:p>
    <w:p>
      <w:pPr>
        <w:pStyle w:val="Heading2"/>
      </w:pPr>
      <w:r>
        <w:t xml:space="preserve">3.2 Response Timeline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400"/>
        <w:gridCol w:w="2000"/>
        <w:gridCol w:w="2200"/>
        <w:gridCol w:w="3760"/>
      </w:tblGrid>
      <w:tr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20"/>
                <w:szCs w:val="20"/>
              </w:rPr>
              <w:t xml:space="preserve">Severity</w:t>
            </w:r>
          </w:p>
        </w:tc>
        <w:tc>
          <w:tcPr>
            <w:tcW w:type="dxa" w:w="2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20"/>
                <w:szCs w:val="20"/>
              </w:rPr>
              <w:t xml:space="preserve">Acknowledgment</w:t>
            </w:r>
          </w:p>
        </w:tc>
        <w:tc>
          <w:tcPr>
            <w:tcW w:type="dxa" w:w="2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20"/>
                <w:szCs w:val="20"/>
              </w:rPr>
              <w:t xml:space="preserve">Patch Target</w:t>
            </w:r>
          </w:p>
        </w:tc>
        <w:tc>
          <w:tcPr>
            <w:tcW w:type="dxa" w:w="3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3E8FF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rFonts w:ascii="Arial" w:cs="Arial" w:eastAsia="Arial" w:hAnsi="Arial"/>
                <w:b/>
                <w:bCs/>
                <w:sz w:val="20"/>
                <w:szCs w:val="20"/>
              </w:rPr>
              <w:t xml:space="preserve">Customer Notification</w:t>
            </w:r>
          </w:p>
        </w:tc>
      </w:tr>
      <w:tr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EE2E2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DC2626"/>
                <w:sz w:val="20"/>
                <w:szCs w:val="20"/>
              </w:rPr>
              <w:t xml:space="preserve">Critical</w:t>
            </w:r>
          </w:p>
        </w:tc>
        <w:tc>
          <w:tcPr>
            <w:tcW w:type="dxa" w:w="2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20"/>
                <w:szCs w:val="20"/>
              </w:rPr>
              <w:t xml:space="preserve">4 hours</w:t>
            </w:r>
          </w:p>
        </w:tc>
        <w:tc>
          <w:tcPr>
            <w:tcW w:type="dxa" w:w="2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20"/>
                <w:szCs w:val="20"/>
              </w:rPr>
              <w:t xml:space="preserve">24-72 hours</w:t>
            </w:r>
          </w:p>
        </w:tc>
        <w:tc>
          <w:tcPr>
            <w:tcW w:type="dxa" w:w="3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left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20"/>
                <w:szCs w:val="20"/>
              </w:rPr>
              <w:t xml:space="preserve">Within 24 hours of confirmation</w:t>
            </w:r>
          </w:p>
        </w:tc>
      </w:tr>
      <w:tr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FEDD5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D97706"/>
                <w:sz w:val="20"/>
                <w:szCs w:val="20"/>
              </w:rPr>
              <w:t xml:space="preserve">High</w:t>
            </w:r>
          </w:p>
        </w:tc>
        <w:tc>
          <w:tcPr>
            <w:tcW w:type="dxa" w:w="2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20"/>
                <w:szCs w:val="20"/>
              </w:rPr>
              <w:t xml:space="preserve">24 hours</w:t>
            </w:r>
          </w:p>
        </w:tc>
        <w:tc>
          <w:tcPr>
            <w:tcW w:type="dxa" w:w="2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20"/>
                <w:szCs w:val="20"/>
              </w:rPr>
              <w:t xml:space="preserve">7-14 days</w:t>
            </w:r>
          </w:p>
        </w:tc>
        <w:tc>
          <w:tcPr>
            <w:tcW w:type="dxa" w:w="3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left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20"/>
                <w:szCs w:val="20"/>
              </w:rPr>
              <w:t xml:space="preserve">Within 72 hours of confirmation</w:t>
            </w:r>
          </w:p>
        </w:tc>
      </w:tr>
      <w:tr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FEF3C7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B45309"/>
                <w:sz w:val="20"/>
                <w:szCs w:val="20"/>
              </w:rPr>
              <w:t xml:space="preserve">Medium</w:t>
            </w:r>
          </w:p>
        </w:tc>
        <w:tc>
          <w:tcPr>
            <w:tcW w:type="dxa" w:w="2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20"/>
                <w:szCs w:val="20"/>
              </w:rPr>
              <w:t xml:space="preserve">48 hours</w:t>
            </w:r>
          </w:p>
        </w:tc>
        <w:tc>
          <w:tcPr>
            <w:tcW w:type="dxa" w:w="2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20"/>
                <w:szCs w:val="20"/>
              </w:rPr>
              <w:t xml:space="preserve">30-60 days</w:t>
            </w:r>
          </w:p>
        </w:tc>
        <w:tc>
          <w:tcPr>
            <w:tcW w:type="dxa" w:w="3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left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20"/>
                <w:szCs w:val="20"/>
              </w:rPr>
              <w:t xml:space="preserve">With next scheduled release</w:t>
            </w:r>
          </w:p>
        </w:tc>
      </w:tr>
      <w:tr>
        <w:tc>
          <w:tcPr>
            <w:tcW w:type="dxa" w:w="14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shd w:fill="DBEAFE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/>
                <w:bCs/>
                <w:color w:val="2563EB"/>
                <w:sz w:val="20"/>
                <w:szCs w:val="20"/>
              </w:rPr>
              <w:t xml:space="preserve">Low</w:t>
            </w:r>
          </w:p>
        </w:tc>
        <w:tc>
          <w:tcPr>
            <w:tcW w:type="dxa" w:w="20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20"/>
                <w:szCs w:val="20"/>
              </w:rPr>
              <w:t xml:space="preserve">72 hours</w:t>
            </w:r>
          </w:p>
        </w:tc>
        <w:tc>
          <w:tcPr>
            <w:tcW w:type="dxa" w:w="22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center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20"/>
                <w:szCs w:val="20"/>
              </w:rPr>
              <w:t xml:space="preserve">90 days</w:t>
            </w:r>
          </w:p>
        </w:tc>
        <w:tc>
          <w:tcPr>
            <w:tcW w:type="dxa" w:w="37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left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20"/>
                <w:szCs w:val="20"/>
              </w:rPr>
              <w:t xml:space="preserve">In release notes</w:t>
            </w:r>
          </w:p>
        </w:tc>
      </w:tr>
    </w:tbl>
    <w:p>
      <w:pPr>
        <w:spacing w:before="300"/>
      </w:pPr>
    </w:p>
    <w:p>
      <w:pPr>
        <w:pStyle w:val="Heading1"/>
      </w:pPr>
      <w:r>
        <w:t xml:space="preserve">4. Customer Communication</w:t>
      </w:r>
    </w:p>
    <w:p>
      <w:pPr>
        <w:spacing w:after="150"/>
      </w:pPr>
      <w:r>
        <w:rPr>
          <w:rFonts w:ascii="Arial" w:cs="Arial" w:eastAsia="Arial" w:hAnsi="Arial"/>
          <w:sz w:val="20"/>
          <w:szCs w:val="20"/>
        </w:rPr>
        <w:t xml:space="preserve">When a security incident affects customers, Psyrcuit will: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800"/>
        <w:gridCol w:w="8560"/>
      </w:tblGrid>
      <w:tr>
        <w:tc>
          <w:tcPr>
            <w:tcW w:type="dxa" w:w="8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left"/>
            </w:pPr>
            <w:r>
              <w:rPr>
                <w:rFonts w:ascii="Arial" w:cs="Arial" w:eastAsia="Arial" w:hAnsi="Arial"/>
                <w:b/>
                <w:bCs/>
                <w:color w:val="000000"/>
                <w:sz w:val="20"/>
                <w:szCs w:val="20"/>
              </w:rPr>
              <w:t xml:space="preserve">1.</w:t>
            </w:r>
          </w:p>
        </w:tc>
        <w:tc>
          <w:tcPr>
            <w:tcW w:type="dxa" w:w="85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left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20"/>
                <w:szCs w:val="20"/>
              </w:rPr>
              <w:t xml:space="preserve">Send email notification to all registered customers with active support agreements</w:t>
            </w:r>
          </w:p>
        </w:tc>
      </w:tr>
      <w:tr>
        <w:tc>
          <w:tcPr>
            <w:tcW w:type="dxa" w:w="8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left"/>
            </w:pPr>
            <w:r>
              <w:rPr>
                <w:rFonts w:ascii="Arial" w:cs="Arial" w:eastAsia="Arial" w:hAnsi="Arial"/>
                <w:b/>
                <w:bCs/>
                <w:color w:val="000000"/>
                <w:sz w:val="20"/>
                <w:szCs w:val="20"/>
              </w:rPr>
              <w:t xml:space="preserve">2.</w:t>
            </w:r>
          </w:p>
        </w:tc>
        <w:tc>
          <w:tcPr>
            <w:tcW w:type="dxa" w:w="85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left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20"/>
                <w:szCs w:val="20"/>
              </w:rPr>
              <w:t xml:space="preserve">Provide description of the vulnerability (without exploitation details)</w:t>
            </w:r>
          </w:p>
        </w:tc>
      </w:tr>
      <w:tr>
        <w:tc>
          <w:tcPr>
            <w:tcW w:type="dxa" w:w="8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left"/>
            </w:pPr>
            <w:r>
              <w:rPr>
                <w:rFonts w:ascii="Arial" w:cs="Arial" w:eastAsia="Arial" w:hAnsi="Arial"/>
                <w:b/>
                <w:bCs/>
                <w:color w:val="000000"/>
                <w:sz w:val="20"/>
                <w:szCs w:val="20"/>
              </w:rPr>
              <w:t xml:space="preserve">3.</w:t>
            </w:r>
          </w:p>
        </w:tc>
        <w:tc>
          <w:tcPr>
            <w:tcW w:type="dxa" w:w="85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left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20"/>
                <w:szCs w:val="20"/>
              </w:rPr>
              <w:t xml:space="preserve">Include affected versions and whether customer's version is impacted</w:t>
            </w:r>
          </w:p>
        </w:tc>
      </w:tr>
      <w:tr>
        <w:tc>
          <w:tcPr>
            <w:tcW w:type="dxa" w:w="8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left"/>
            </w:pPr>
            <w:r>
              <w:rPr>
                <w:rFonts w:ascii="Arial" w:cs="Arial" w:eastAsia="Arial" w:hAnsi="Arial"/>
                <w:b/>
                <w:bCs/>
                <w:color w:val="000000"/>
                <w:sz w:val="20"/>
                <w:szCs w:val="20"/>
              </w:rPr>
              <w:t xml:space="preserve">4.</w:t>
            </w:r>
          </w:p>
        </w:tc>
        <w:tc>
          <w:tcPr>
            <w:tcW w:type="dxa" w:w="85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left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20"/>
                <w:szCs w:val="20"/>
              </w:rPr>
              <w:t xml:space="preserve">Provide mitigation steps if a patch is not yet available</w:t>
            </w:r>
          </w:p>
        </w:tc>
      </w:tr>
      <w:tr>
        <w:tc>
          <w:tcPr>
            <w:tcW w:type="dxa" w:w="8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left"/>
            </w:pPr>
            <w:r>
              <w:rPr>
                <w:rFonts w:ascii="Arial" w:cs="Arial" w:eastAsia="Arial" w:hAnsi="Arial"/>
                <w:b/>
                <w:bCs/>
                <w:color w:val="000000"/>
                <w:sz w:val="20"/>
                <w:szCs w:val="20"/>
              </w:rPr>
              <w:t xml:space="preserve">5.</w:t>
            </w:r>
          </w:p>
        </w:tc>
        <w:tc>
          <w:tcPr>
            <w:tcW w:type="dxa" w:w="85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left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20"/>
                <w:szCs w:val="20"/>
              </w:rPr>
              <w:t xml:space="preserve">Deliver patched version with installation instructions</w:t>
            </w:r>
          </w:p>
        </w:tc>
      </w:tr>
      <w:tr>
        <w:tc>
          <w:tcPr>
            <w:tcW w:type="dxa" w:w="80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left"/>
            </w:pPr>
            <w:r>
              <w:rPr>
                <w:rFonts w:ascii="Arial" w:cs="Arial" w:eastAsia="Arial" w:hAnsi="Arial"/>
                <w:b/>
                <w:bCs/>
                <w:color w:val="000000"/>
                <w:sz w:val="20"/>
                <w:szCs w:val="20"/>
              </w:rPr>
              <w:t xml:space="preserve">6.</w:t>
            </w:r>
          </w:p>
        </w:tc>
        <w:tc>
          <w:tcPr>
            <w:tcW w:type="dxa" w:w="8560"/>
            <w:tcBorders>
              <w:top w:val="single" w:color="E5E7EB" w:sz="1"/>
              <w:left w:val="single" w:color="E5E7EB" w:sz="1"/>
              <w:bottom w:val="single" w:color="E5E7EB" w:sz="1"/>
              <w:right w:val="single" w:color="E5E7EB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pPr>
              <w:jc w:val="left"/>
            </w:pPr>
            <w:r>
              <w:rPr>
                <w:rFonts w:ascii="Arial" w:cs="Arial" w:eastAsia="Arial" w:hAnsi="Arial"/>
                <w:b w:val="false"/>
                <w:bCs w:val="false"/>
                <w:color w:val="000000"/>
                <w:sz w:val="20"/>
                <w:szCs w:val="20"/>
              </w:rPr>
              <w:t xml:space="preserve">Publish security advisory on psyrcuit.com (after customers have had time to patch)</w:t>
            </w:r>
          </w:p>
        </w:tc>
      </w:tr>
    </w:tbl>
    <w:p>
      <w:pPr>
        <w:spacing w:before="300"/>
      </w:pPr>
    </w:p>
    <w:p>
      <w:pPr>
        <w:pStyle w:val="Heading1"/>
      </w:pPr>
      <w:r>
        <w:t xml:space="preserve">5. Contact Information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9360"/>
      </w:tblGrid>
      <w:tr>
        <w:tc>
          <w:tcPr>
            <w:tcW w:type="dxa" w:w="9360"/>
            <w:tcBorders>
              <w:top w:val="single" w:color="6B21A8" w:sz="2"/>
              <w:left w:val="single" w:color="6B21A8" w:sz="2"/>
              <w:bottom w:val="single" w:color="6B21A8" w:sz="2"/>
              <w:right w:val="single" w:color="6B21A8" w:sz="2"/>
            </w:tcBorders>
            <w:shd w:fill="FAF5FF" w:val="clear"/>
            <w:tcMar>
              <w:top w:type="dxa" w:w="150"/>
              <w:left w:type="dxa" w:w="200"/>
              <w:bottom w:type="dxa" w:w="150"/>
              <w:right w:type="dxa" w:w="200"/>
            </w:tcMar>
          </w:tcPr>
          <w:p>
            <w:pPr>
              <w:spacing w:after="100"/>
            </w:pPr>
            <w:r>
              <w:rPr>
                <w:rFonts w:ascii="Arial" w:cs="Arial" w:eastAsia="Arial" w:hAnsi="Arial"/>
                <w:b/>
                <w:bCs/>
                <w:color w:val="6B21A8"/>
                <w:sz w:val="22"/>
                <w:szCs w:val="22"/>
              </w:rPr>
              <w:t xml:space="preserve">Security Incident Reporting</w:t>
            </w:r>
          </w:p>
          <w:p>
            <w:r>
              <w:rPr>
                <w:rFonts w:ascii="Arial" w:cs="Arial" w:eastAsia="Arial" w:hAnsi="Arial"/>
                <w:b/>
                <w:bCs/>
                <w:sz w:val="20"/>
                <w:szCs w:val="20"/>
              </w:rPr>
              <w:t xml:space="preserve">Email: </w:t>
            </w:r>
            <w:r>
              <w:rPr>
                <w:rFonts w:ascii="Arial" w:cs="Arial" w:eastAsia="Arial" w:hAnsi="Arial"/>
                <w:sz w:val="20"/>
                <w:szCs w:val="20"/>
              </w:rPr>
              <w:t xml:space="preserve">security@psyrcuit.com</w:t>
            </w:r>
          </w:p>
          <w:p>
            <w:r>
              <w:rPr>
                <w:rFonts w:ascii="Arial" w:cs="Arial" w:eastAsia="Arial" w:hAnsi="Arial"/>
                <w:b/>
                <w:bCs/>
                <w:sz w:val="20"/>
                <w:szCs w:val="20"/>
              </w:rPr>
              <w:t xml:space="preserve">Response: </w:t>
            </w:r>
            <w:r>
              <w:rPr>
                <w:rFonts w:ascii="Arial" w:cs="Arial" w:eastAsia="Arial" w:hAnsi="Arial"/>
                <w:sz w:val="20"/>
                <w:szCs w:val="20"/>
              </w:rPr>
              <w:t xml:space="preserve">Acknowledgment within 48 hours (24 hours for Critical)</w:t>
            </w:r>
          </w:p>
          <w:p>
            <w:pPr>
              <w:spacing w:before="100"/>
            </w:pPr>
            <w:r>
              <w:rPr>
                <w:rFonts w:ascii="Arial" w:cs="Arial" w:eastAsia="Arial" w:hAnsi="Arial"/>
                <w:b/>
                <w:bCs/>
                <w:sz w:val="20"/>
                <w:szCs w:val="20"/>
              </w:rPr>
              <w:t xml:space="preserve">Please include: </w:t>
            </w:r>
            <w:r>
              <w:rPr>
                <w:rFonts w:ascii="Arial" w:cs="Arial" w:eastAsia="Arial" w:hAnsi="Arial"/>
                <w:sz w:val="20"/>
                <w:szCs w:val="20"/>
              </w:rPr>
              <w:t xml:space="preserve">Product version, description of issue, steps to reproduce (if applicable), your contact information</w:t>
            </w:r>
          </w:p>
        </w:tc>
      </w:tr>
    </w:tbl>
    <w:p>
      <w:pPr>
        <w:spacing w:before="400"/>
      </w:pPr>
    </w:p>
    <w:p>
      <w:pPr>
        <w:jc w:val="center"/>
      </w:pPr>
      <w:r>
        <w:rPr>
          <w:rFonts w:ascii="Arial" w:cs="Arial" w:eastAsia="Arial" w:hAnsi="Arial"/>
          <w:i/>
          <w:iCs/>
          <w:color w:val="6B7280"/>
          <w:sz w:val="18"/>
          <w:szCs w:val="18"/>
        </w:rPr>
        <w:t xml:space="preserve">This policy is reviewed annually and updated as needed.</w:t>
      </w:r>
    </w:p>
    <w:p>
      <w:pPr>
        <w:jc w:val="center"/>
      </w:pPr>
      <w:r>
        <w:rPr>
          <w:rFonts w:ascii="Arial" w:cs="Arial" w:eastAsia="Arial" w:hAnsi="Arial"/>
          <w:color w:val="6B7280"/>
          <w:sz w:val="18"/>
          <w:szCs w:val="18"/>
        </w:rPr>
        <w:t xml:space="preserve">Psyrcuit LLC  •  Tucson, Arizona  •  psyrcuit.com</w:t>
      </w:r>
    </w:p>
    <w:sectPr>
      <w:headerReference w:type="default" r:id="rId6"/>
      <w:footerReference w:type="default" r:id="rId7"/>
      <w:pgSz w:w="12240" w:h="15840" w:orient="portrait"/>
      <w:pgMar w:top="1440" w:right="1440" w:bottom="1440" w:left="144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jc w:val="center"/>
    </w:pPr>
    <w:r>
      <w:rPr>
        <w:rFonts w:ascii="Arial" w:cs="Arial" w:eastAsia="Arial" w:hAnsi="Arial"/>
        <w:color w:val="6B7280"/>
        <w:sz w:val="18"/>
        <w:szCs w:val="18"/>
      </w:rPr>
      <w:t xml:space="preserve">Psyrcuit LLC  |  Confidential  |  Page </w:t>
    </w:r>
    <w:r>
      <w:rPr>
        <w:rFonts w:ascii="Arial" w:cs="Arial" w:eastAsia="Arial" w:hAnsi="Arial"/>
        <w:color w:val="6B7280"/>
        <w:sz w:val="18"/>
        <w:szCs w:val="18"/>
      </w:rPr>
      <w:fldChar w:fldCharType="begin"/>
      <w:instrText xml:space="preserve">PAGE</w:instrText>
      <w:fldChar w:fldCharType="separate"/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>
  <w:p>
    <w:pPr>
      <w:jc w:val="right"/>
    </w:pPr>
    <w:r>
      <w:rPr>
        <w:rFonts w:ascii="Arial" w:cs="Arial" w:eastAsia="Arial" w:hAnsi="Arial"/>
        <w:color w:val="6B7280"/>
        <w:sz w:val="18"/>
        <w:szCs w:val="18"/>
      </w:rPr>
      <w:t xml:space="preserve">Metal Finishing Calculator v3.0.0</w:t>
    </w:r>
    <w:r>
      <w:rPr>
        <w:rFonts w:ascii="Arial" w:cs="Arial" w:eastAsia="Arial" w:hAnsi="Arial"/>
        <w:color w:val="6B7280"/>
        <w:sz w:val="18"/>
        <w:szCs w:val="18"/>
      </w:rPr>
      <w:t xml:space="preserve">  |  </w:t>
    </w:r>
    <w:r>
      <w:rPr>
        <w:rFonts w:ascii="Arial" w:cs="Arial" w:eastAsia="Arial" w:hAnsi="Arial"/>
        <w:color w:val="6B7280"/>
        <w:sz w:val="18"/>
        <w:szCs w:val="18"/>
      </w:rPr>
      <w:t xml:space="preserve">Incident Response Policy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cs="Arial" w:eastAsia="Arial" w:hAnsi="Arial"/>
        <w:sz w:val="22"/>
        <w:szCs w:val="22"/>
      </w:rPr>
    </w:rPrDefault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color w:val="0563C1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  <w:style w:type="paragraph" w:styleId="Heading1">
    <w:name w:val="Heading 1"/>
    <w:basedOn w:val="Normal"/>
    <w:next w:val="Normal"/>
    <w:qFormat/>
    <w:pPr>
      <w:spacing w:before="300" w:after="100"/>
      <w:outlineLvl w:val="0"/>
    </w:pPr>
    <w:rPr>
      <w:rFonts w:ascii="Arial" w:cs="Arial" w:eastAsia="Arial" w:hAnsi="Arial"/>
      <w:b/>
      <w:bCs/>
      <w:color w:val="6B21A8"/>
      <w:sz w:val="28"/>
      <w:szCs w:val="28"/>
    </w:rPr>
  </w:style>
  <w:style w:type="paragraph" w:styleId="Heading2">
    <w:name w:val="Heading 2"/>
    <w:basedOn w:val="Normal"/>
    <w:next w:val="Normal"/>
    <w:qFormat/>
    <w:pPr>
      <w:spacing w:before="240" w:after="80"/>
      <w:outlineLvl w:val="1"/>
    </w:pPr>
    <w:rPr>
      <w:rFonts w:ascii="Arial" w:cs="Arial" w:eastAsia="Arial" w:hAnsi="Arial"/>
      <w:b/>
      <w:bCs/>
      <w:color w:val="1F2937"/>
      <w:sz w:val="24"/>
      <w:szCs w:val="24"/>
    </w:rPr>
  </w:style>
</w:styles>
</file>

<file path=word/_rels/comments.xml.rels><?xml version="1.0" encoding="UTF-8"?><Relationships xmlns="http://schemas.openxmlformats.org/package/2006/relationships"/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/Relationships>
</file>

<file path=word/_rels/fontTable.xml.rels><?xml version="1.0" encoding="UTF-8"?><Relationships xmlns="http://schemas.openxmlformats.org/package/2006/relationships"/>
</file>

<file path=word/_rels/footer1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word/_rels/header1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2026-01-30T18:22:31.496Z</dcterms:created>
  <dcterms:modified xsi:type="dcterms:W3CDTF">2026-01-30T18:22:31.497Z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