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80"/>
        <w:jc w:val="center"/>
      </w:pPr>
      <w:r>
        <w:rPr>
          <w:rFonts w:ascii="Arial" w:cs="Arial" w:eastAsia="Arial" w:hAnsi="Arial"/>
          <w:b/>
          <w:bCs/>
          <w:color w:val="6B21A8"/>
          <w:sz w:val="36"/>
          <w:szCs w:val="36"/>
        </w:rPr>
        <w:t xml:space="preserve">VENDOR SECURITY QUESTIONNAIRE</w:t>
      </w:r>
    </w:p>
    <w:p>
      <w:pPr>
        <w:spacing w:after="300"/>
        <w:jc w:val="center"/>
      </w:pPr>
      <w:r>
        <w:rPr>
          <w:rFonts w:ascii="Arial" w:cs="Arial" w:eastAsia="Arial" w:hAnsi="Arial"/>
          <w:color w:val="4B5563"/>
          <w:sz w:val="24"/>
          <w:szCs w:val="24"/>
        </w:rPr>
        <w:t xml:space="preserve">Metal Finishing Calculator v3.0.0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400"/>
        <w:gridCol w:w="7680"/>
      </w:tblGrid>
      <w:tr>
        <w:tc>
          <w:tcPr>
            <w:tcW w:type="dxa" w:w="2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Document Version:</w:t>
            </w:r>
          </w:p>
        </w:tc>
        <w:tc>
          <w:tcPr>
            <w:tcW w:type="dxa" w:w="7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1.0</w:t>
            </w:r>
          </w:p>
        </w:tc>
      </w:tr>
      <w:tr>
        <w:tc>
          <w:tcPr>
            <w:tcW w:type="dxa" w:w="2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Date:</w:t>
            </w:r>
          </w:p>
        </w:tc>
        <w:tc>
          <w:tcPr>
            <w:tcW w:type="dxa" w:w="7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January 30, 2026</w:t>
            </w:r>
          </w:p>
        </w:tc>
      </w:tr>
      <w:tr>
        <w:tc>
          <w:tcPr>
            <w:tcW w:type="dxa" w:w="2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Vendor:</w:t>
            </w:r>
          </w:p>
        </w:tc>
        <w:tc>
          <w:tcPr>
            <w:tcW w:type="dxa" w:w="7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Psyrcuit LLC</w:t>
            </w:r>
          </w:p>
        </w:tc>
      </w:tr>
      <w:tr>
        <w:tc>
          <w:tcPr>
            <w:tcW w:type="dxa" w:w="2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Product:</w:t>
            </w:r>
          </w:p>
        </w:tc>
        <w:tc>
          <w:tcPr>
            <w:tcW w:type="dxa" w:w="7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Metal Finishing Calculator v3.0.0</w:t>
            </w:r>
          </w:p>
        </w:tc>
      </w:tr>
    </w:tbl>
    <w:p>
      <w:pPr>
        <w:spacing w:before="200"/>
      </w:pP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80"/>
      </w:tblGrid>
      <w:tr>
        <w:tc>
          <w:tcPr>
            <w:tcW w:type="dxa" w:w="10080"/>
            <w:tcBorders>
              <w:top w:val="single" w:color="6B21A8" w:sz="2"/>
              <w:left w:val="single" w:color="6B21A8" w:sz="2"/>
              <w:bottom w:val="single" w:color="6B21A8" w:sz="2"/>
              <w:right w:val="single" w:color="6B21A8" w:sz="2"/>
            </w:tcBorders>
            <w:shd w:fill="FAF5FF" w:val="clear"/>
            <w:tcMar>
              <w:top w:type="dxa" w:w="100"/>
              <w:left w:type="dxa" w:w="150"/>
              <w:bottom w:type="dxa" w:w="100"/>
              <w:right w:type="dxa" w:w="150"/>
            </w:tcMar>
          </w:tcPr>
          <w:p>
            <w:pPr>
              <w:spacing w:after="60"/>
            </w:pPr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Response Legend:</w:t>
            </w:r>
          </w:p>
          <w:p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 </w:t>
            </w:r>
            <w:r>
              <w:rPr>
                <w:rFonts w:ascii="Arial" w:cs="Arial" w:eastAsia="Arial" w:hAnsi="Arial"/>
                <w:sz w:val="18"/>
                <w:szCs w:val="18"/>
              </w:rPr>
              <w:t xml:space="preserve">= Not applicable (offline application, no network/cloud features)</w:t>
            </w:r>
          </w:p>
          <w:p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 Responsibility </w:t>
            </w:r>
            <w:r>
              <w:rPr>
                <w:rFonts w:ascii="Arial" w:cs="Arial" w:eastAsia="Arial" w:hAnsi="Arial"/>
                <w:sz w:val="18"/>
                <w:szCs w:val="18"/>
              </w:rPr>
              <w:t xml:space="preserve">= Control implemented by customer's IT environment</w:t>
            </w:r>
          </w:p>
          <w:p>
            <w:r>
              <w:rPr>
                <w:rFonts w:ascii="Arial" w:cs="Arial" w:eastAsia="Arial" w:hAnsi="Arial"/>
                <w:b/>
                <w:bCs/>
                <w:color w:val="059669"/>
                <w:sz w:val="18"/>
                <w:szCs w:val="18"/>
              </w:rPr>
              <w:t xml:space="preserve">Yes/Implemented </w:t>
            </w:r>
            <w:r>
              <w:rPr>
                <w:rFonts w:ascii="Arial" w:cs="Arial" w:eastAsia="Arial" w:hAnsi="Arial"/>
                <w:sz w:val="18"/>
                <w:szCs w:val="18"/>
              </w:rPr>
              <w:t xml:space="preserve">= Vendor provides this capability</w:t>
            </w:r>
          </w:p>
        </w:tc>
      </w:tr>
    </w:tbl>
    <w:p>
      <w:pPr>
        <w:spacing w:before="300"/>
      </w:pPr>
    </w:p>
    <w:p>
      <w:pPr>
        <w:pStyle w:val="Heading1"/>
      </w:pPr>
      <w:r>
        <w:t xml:space="preserve">1. Company Information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680"/>
        <w:gridCol w:w="5400"/>
      </w:tblGrid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Question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Response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1.1 Company legal name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Psyrcuit LLC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1.2 Company headquarters location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Tucson, Arizona, USA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1.3 Year company founded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2024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1.4 Number of employees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1-10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1.5 Primary business activity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Custom software development for manufacturing industry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1.6 Company website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https://psyrcuit.com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1.7 Security contact email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security@psyrcuit.com</w:t>
            </w:r>
          </w:p>
        </w:tc>
      </w:tr>
    </w:tbl>
    <w:p>
      <w:pPr>
        <w:spacing w:before="300"/>
      </w:pPr>
    </w:p>
    <w:p>
      <w:pPr>
        <w:pStyle w:val="Heading1"/>
      </w:pPr>
      <w:r>
        <w:t xml:space="preserve">2. Product Information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680"/>
        <w:gridCol w:w="5400"/>
      </w:tblGrid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Question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Response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2.1 Product name and version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Metal Finishing Calculator v3.0.0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2.2 Product deployment model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On-premise desktop application (Windows)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2.3 Is the product cloud-based?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No - 100% offline, local installation only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2.4 Does the product require internet?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No - fully functional without any network connectivity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2.5 Does the product transmit data externally?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No - zero network transmission capability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2.6 Technology stack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Electron 40.1.0, React 18.2.0, Node.js (bundled)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2.7 Supported operating systems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Windows 10 (1903+), Windows 11 - 64-bit only</w:t>
            </w:r>
          </w:p>
        </w:tc>
      </w:tr>
    </w:tbl>
    <w:p>
      <w:r>
        <w:br w:type="page"/>
      </w:r>
    </w:p>
    <w:p>
      <w:pPr>
        <w:pStyle w:val="Heading1"/>
      </w:pPr>
      <w:r>
        <w:t xml:space="preserve">3. Data Security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680"/>
        <w:gridCol w:w="5400"/>
      </w:tblGrid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Question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Response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3.1 Where is customer data stored?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Locally on customer's workstation only. Default: %APPDATA% or customer-specified directory.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3.2 Does vendor have access to customer data?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No - Psyrcuit has zero access to customer data. All data remains on customer premises.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3.3 Is data encrypted at rest?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2563EB"/>
                <w:sz w:val="18"/>
                <w:szCs w:val="18"/>
              </w:rPr>
              <w:t xml:space="preserve">Customer Responsibility - Application relies on OS-level encryption (BitLocker recommended)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3.4 Is data encrypted in transit?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/>
                <w:iCs/>
                <w:color w:val="6B7280"/>
                <w:sz w:val="18"/>
                <w:szCs w:val="18"/>
              </w:rPr>
              <w:t xml:space="preserve">N/A - No data transmission occurs. Application is 100% offline.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3.5 Data retention policy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2563EB"/>
                <w:sz w:val="18"/>
                <w:szCs w:val="18"/>
              </w:rPr>
              <w:t xml:space="preserve">Customer Responsibility - Customer controls all data retention and deletion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3.6 Data backup procedures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2563EB"/>
                <w:sz w:val="18"/>
                <w:szCs w:val="18"/>
              </w:rPr>
              <w:t xml:space="preserve">Customer Responsibility - Standard file backup procedures apply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3.7 Data classification supported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Application supports ITAR/CUI environments through offline architecture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3.8 Can data be exported?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PDF quotes, JSON quote files (all local, no cloud export)</w:t>
            </w:r>
          </w:p>
        </w:tc>
      </w:tr>
    </w:tbl>
    <w:p>
      <w:pPr>
        <w:spacing w:before="300"/>
      </w:pPr>
    </w:p>
    <w:p>
      <w:pPr>
        <w:pStyle w:val="Heading1"/>
      </w:pPr>
      <w:r>
        <w:t xml:space="preserve">4. Access Control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680"/>
        <w:gridCol w:w="5400"/>
      </w:tblGrid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Question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Response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4.1 Does the application require authentication?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No application-level authentication. Relies on Windows user authentication.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4.2 Multi-factor authentication supported?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/>
                <w:iCs/>
                <w:color w:val="6B7280"/>
                <w:sz w:val="18"/>
                <w:szCs w:val="18"/>
              </w:rPr>
              <w:t xml:space="preserve">N/A - No application authentication. Customer can enforce MFA at Windows login.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4.3 Role-based access control?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2563EB"/>
                <w:sz w:val="18"/>
                <w:szCs w:val="18"/>
              </w:rPr>
              <w:t xml:space="preserve">Customer Responsibility - Use Windows NTFS permissions and user accounts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4.4 Password policy enforcement?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/>
                <w:iCs/>
                <w:color w:val="6B7280"/>
                <w:sz w:val="18"/>
                <w:szCs w:val="18"/>
              </w:rPr>
              <w:t xml:space="preserve">N/A - No application passwords. Windows password policies apply.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4.5 Session timeout implemented?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2563EB"/>
                <w:sz w:val="18"/>
                <w:szCs w:val="18"/>
              </w:rPr>
              <w:t xml:space="preserve">Customer Responsibility - Use Windows screen lock policies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4.6 Audit logging of user actions?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2563EB"/>
                <w:sz w:val="18"/>
                <w:szCs w:val="18"/>
              </w:rPr>
              <w:t xml:space="preserve">Customer Responsibility - Windows Event Logs capture file access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4.7 Can access be revoked remotely?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2563EB"/>
                <w:sz w:val="18"/>
                <w:szCs w:val="18"/>
              </w:rPr>
              <w:t xml:space="preserve">Customer Responsibility - Remove application or revoke Windows access</w:t>
            </w:r>
          </w:p>
        </w:tc>
      </w:tr>
    </w:tbl>
    <w:p>
      <w:r>
        <w:br w:type="page"/>
      </w:r>
    </w:p>
    <w:p>
      <w:pPr>
        <w:pStyle w:val="Heading1"/>
      </w:pPr>
      <w:r>
        <w:t xml:space="preserve">5. Network Security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680"/>
        <w:gridCol w:w="5400"/>
      </w:tblGrid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Question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Response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5.1 Does the application make network connections?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No - Zero network connectivity. Application can be blocked in firewall with no impact.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5.2 What ports does the application use?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/>
                <w:iCs/>
                <w:color w:val="6B7280"/>
                <w:sz w:val="18"/>
                <w:szCs w:val="18"/>
              </w:rPr>
              <w:t xml:space="preserve">N/A - No network ports opened or used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5.3 Does the application use APIs?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/>
                <w:iCs/>
                <w:color w:val="6B7280"/>
                <w:sz w:val="18"/>
                <w:szCs w:val="18"/>
              </w:rPr>
              <w:t xml:space="preserve">N/A - No external API calls. All processing is local.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5.4 Is a VPN required?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/>
                <w:iCs/>
                <w:color w:val="6B7280"/>
                <w:sz w:val="18"/>
                <w:szCs w:val="18"/>
              </w:rPr>
              <w:t xml:space="preserve">N/A - No network access required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5.5 Does the application support TLS?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/>
                <w:iCs/>
                <w:color w:val="6B7280"/>
                <w:sz w:val="18"/>
                <w:szCs w:val="18"/>
              </w:rPr>
              <w:t xml:space="preserve">N/A - No network transmission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5.6 Can it operate on air-gapped networks?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Designed for air-gapped and isolated environments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5.7 Firewall rules required?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None required. Application can be fully blocked.</w:t>
            </w:r>
          </w:p>
        </w:tc>
      </w:tr>
    </w:tbl>
    <w:p>
      <w:pPr>
        <w:spacing w:before="300"/>
      </w:pPr>
    </w:p>
    <w:p>
      <w:pPr>
        <w:pStyle w:val="Heading1"/>
      </w:pPr>
      <w:r>
        <w:t xml:space="preserve">6. Application Security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680"/>
        <w:gridCol w:w="5400"/>
      </w:tblGrid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Question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Response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6.1 Secure development lifecycle followed?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Code review, dependency scanning, security testing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6.2 Third-party components managed?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SBOM maintained, versions pinned, vulnerabilities monitored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6.3 Input validation implemented?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All user inputs validated and sanitized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6.4 Protection against injection attacks?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No SQL/database. All data is local JSON files.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6.5 Code signing implemented?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SHA-256 checksums provided for integrity verification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6.6 Context isolation enabled?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contextIsolation: true, sandbox: false (required for offline MAC-based licensing)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6.7 Node integration disabled in renderer?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nodeIntegration: false, contextIsolation: true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6.8 Does the application support third-party add-ons or plugins?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Optional add-on modules can extend calculator functionality. All add-ons require Ed25519 cryptographic signature verification before execution.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6.9 How are add-ons verified before execution?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Ed25519 elliptic curve signature verification with SHA-256 content hashing. Public key is hardcoded in the application binary. Private key held offline by Psyrcuit LLC exclusively.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6.10 Can unsigned or tampered add-ons execute?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No - Unsigned or signature-failed add-ons are rendered inert. UI controls are disabled. Verification occurs at installation, every application launch, and renderer load.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6.11 Can the add-on system be disabled?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The add-on system has no add-ons installed by default. Removing all add-on directories effectively disables the system. The application operates normally without add-ons.</w:t>
            </w:r>
          </w:p>
        </w:tc>
      </w:tr>
    </w:tbl>
    <w:p>
      <w:r>
        <w:br w:type="page"/>
      </w:r>
    </w:p>
    <w:p>
      <w:pPr>
        <w:pStyle w:val="Heading1"/>
      </w:pPr>
      <w:r>
        <w:t xml:space="preserve">7. Incident Response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680"/>
        <w:gridCol w:w="5400"/>
      </w:tblGrid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Question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Response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7.1 Incident response plan in place?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Documented incident response procedures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7.2 Security incident notification timeframe?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Critical: 24 hours, High: 72 hours, via email to affected customers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7.3 Has vendor experienced a data breach?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No - No breaches. Note: Vendor has no access to customer data.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7.4 How are vulnerabilities reported?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Email security@psyrcuit.com - Response within 48 hours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7.5 Vulnerability patching timeframe?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Critical: 30 days, High: 60 days, Medium: 90 days</w:t>
            </w:r>
          </w:p>
        </w:tc>
      </w:tr>
    </w:tbl>
    <w:p>
      <w:pPr>
        <w:spacing w:before="300"/>
      </w:pPr>
    </w:p>
    <w:p>
      <w:pPr>
        <w:pStyle w:val="Heading1"/>
      </w:pPr>
      <w:r>
        <w:t xml:space="preserve">8. Business Continuity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680"/>
        <w:gridCol w:w="5400"/>
      </w:tblGrid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Question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Response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8.1 What happens if vendor ceases operations?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Application continues to function indefinitely - no vendor dependency for operation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8.2 Is source code escrowed?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Available upon request for enterprise agreements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8.3 Application availability SLA?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/>
                <w:iCs/>
                <w:color w:val="6B7280"/>
                <w:sz w:val="18"/>
                <w:szCs w:val="18"/>
              </w:rPr>
              <w:t xml:space="preserve">N/A - Local application, not a service. 100% available when installed.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8.4 Disaster recovery plan?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2563EB"/>
                <w:sz w:val="18"/>
                <w:szCs w:val="18"/>
              </w:rPr>
              <w:t xml:space="preserve">Customer Responsibility - Standard workstation backup/restore procedures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8.5 Data portability?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All data stored in standard JSON format, fully portable</w:t>
            </w:r>
          </w:p>
        </w:tc>
      </w:tr>
    </w:tbl>
    <w:p>
      <w:pPr>
        <w:spacing w:before="300"/>
      </w:pPr>
    </w:p>
    <w:p>
      <w:pPr>
        <w:pStyle w:val="Heading1"/>
      </w:pPr>
      <w:r>
        <w:t xml:space="preserve">9. Compliance &amp; Certifications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680"/>
        <w:gridCol w:w="5400"/>
      </w:tblGrid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Question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Response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9.1 SOC 2 certification?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/>
                <w:iCs/>
                <w:color w:val="6B7280"/>
                <w:sz w:val="18"/>
                <w:szCs w:val="18"/>
              </w:rPr>
              <w:t xml:space="preserve">N/A - Not applicable for offline desktop software with no data processing services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9.2 ISO 27001 certification?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Not currently certified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9.3 ITAR compatible?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Designed for ITAR environments. No foreign data transmission.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9.4 CUI compatible?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Supports CUI environments. Data remains on customer-controlled systems.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9.5 CMMC compatible?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Inherits customer's CMMC controls. See NIST 800-171 Responsibility Matrix.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9.6 GDPR applicable?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/>
                <w:iCs/>
                <w:color w:val="6B7280"/>
                <w:sz w:val="18"/>
                <w:szCs w:val="18"/>
              </w:rPr>
              <w:t xml:space="preserve">N/A - Vendor does not process personal data. All data under customer control.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9.7 HIPAA applicable?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/>
                <w:iCs/>
                <w:color w:val="6B7280"/>
                <w:sz w:val="18"/>
                <w:szCs w:val="18"/>
              </w:rPr>
              <w:t xml:space="preserve">N/A - Application not designed for healthcare data</w:t>
            </w:r>
          </w:p>
        </w:tc>
      </w:tr>
    </w:tbl>
    <w:p>
      <w:r>
        <w:br w:type="page"/>
      </w:r>
    </w:p>
    <w:p>
      <w:pPr>
        <w:pStyle w:val="Heading1"/>
      </w:pPr>
      <w:r>
        <w:t xml:space="preserve">10. Third-Party Risk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680"/>
        <w:gridCol w:w="5400"/>
      </w:tblGrid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Question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Response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10.1 Does the application use third-party components?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- 7 components. See SBOM for complete list with versions and licenses.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10.2 Are third-party components monitored for vulnerabilities?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npm audit, NVD monitoring, security advisory subscriptions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10.3 Are components from trusted sources?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npm registry, Cloudflare CDN, jsDelivr only. See Third-Party Attestation.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10.4 Does the application use subprocessors?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No - No data leaves customer premises. No subprocessors involved.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10.5 Does the application connect to external services?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No - Zero external service connections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10.6 Are third-party add-ons subject to supply chain controls?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All add-ons require cryptographic signature from Psyrcuit LLC. Only Psyrcuit-signed add-ons can execute. Unsigned third-party code is blocked. Psyrcuit LLC is not liable for add-ons whose signature verification has been bypassed through binary modification.</w:t>
            </w:r>
          </w:p>
        </w:tc>
      </w:tr>
    </w:tbl>
    <w:p>
      <w:pPr>
        <w:spacing w:before="300"/>
      </w:pPr>
    </w:p>
    <w:p>
      <w:pPr>
        <w:pStyle w:val="Heading1"/>
      </w:pPr>
      <w:r>
        <w:t xml:space="preserve">11. Physical Security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680"/>
        <w:gridCol w:w="5400"/>
      </w:tblGrid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Question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Response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11.1 Where is customer data physically stored?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2563EB"/>
                <w:sz w:val="18"/>
                <w:szCs w:val="18"/>
              </w:rPr>
              <w:t xml:space="preserve">Customer Responsibility - Data stored only on customer's local workstations/servers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11.2 Data center security controls?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/>
                <w:iCs/>
                <w:color w:val="6B7280"/>
                <w:sz w:val="18"/>
                <w:szCs w:val="18"/>
              </w:rPr>
              <w:t xml:space="preserve">N/A - No vendor data centers. Application is locally installed.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11.3 Physical access controls?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2563EB"/>
                <w:sz w:val="18"/>
                <w:szCs w:val="18"/>
              </w:rPr>
              <w:t xml:space="preserve">Customer Responsibility - Customer's facility security applies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11.4 Media disposal procedures?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2563EB"/>
                <w:sz w:val="18"/>
                <w:szCs w:val="18"/>
              </w:rPr>
              <w:t xml:space="preserve">Customer Responsibility - Standard secure deletion procedures apply</w:t>
            </w:r>
          </w:p>
        </w:tc>
      </w:tr>
    </w:tbl>
    <w:p>
      <w:pPr>
        <w:spacing w:before="300"/>
      </w:pPr>
    </w:p>
    <w:p>
      <w:pPr>
        <w:pStyle w:val="Heading1"/>
      </w:pPr>
      <w:r>
        <w:t xml:space="preserve">12. Licensing &amp; Updates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680"/>
        <w:gridCol w:w="5400"/>
      </w:tblGrid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Question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Response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12.1 How is the application licensed?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Per-computer license tied to MAC address hash. Offline validation.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12.2 Does licensing require internet?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No - License validation is 100% offline using cryptographic hash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12.3 How are updates delivered?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Manual download from Psyrcuit. No auto-update functionality.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12.4 Can updates be tested before deployment?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Customer controls when/if updates are installed</w:t>
            </w:r>
          </w:p>
        </w:tc>
      </w:tr>
      <w:tr>
        <w:tc>
          <w:tcPr>
            <w:tcW w:type="dxa" w:w="4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12.5 Backward compatibility policy?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59669"/>
                <w:sz w:val="18"/>
                <w:szCs w:val="18"/>
              </w:rPr>
              <w:t xml:space="preserve">Yes - Settings and quotes from v2.x migrate automatically to v3.x</w:t>
            </w:r>
          </w:p>
        </w:tc>
      </w:tr>
    </w:tbl>
    <w:p>
      <w:r>
        <w:br w:type="page"/>
      </w:r>
    </w:p>
    <w:p>
      <w:pPr>
        <w:pStyle w:val="Heading1"/>
      </w:pPr>
      <w:r>
        <w:t xml:space="preserve">13. Additional Attestations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80"/>
      </w:tblGrid>
      <w:tr>
        <w:tc>
          <w:tcPr>
            <w:tcW w:type="dxa" w:w="10080"/>
            <w:tcBorders>
              <w:top w:val="single" w:color="059669" w:sz="2"/>
              <w:left w:val="single" w:color="059669" w:sz="2"/>
              <w:bottom w:val="single" w:color="059669" w:sz="2"/>
              <w:right w:val="single" w:color="059669" w:sz="2"/>
            </w:tcBorders>
            <w:shd w:fill="ECFDF5" w:val="clear"/>
            <w:tcMar>
              <w:top w:type="dxa" w:w="150"/>
              <w:left w:type="dxa" w:w="200"/>
              <w:bottom w:type="dxa" w:w="150"/>
              <w:right w:type="dxa" w:w="200"/>
            </w:tcMar>
          </w:tcPr>
          <w:p>
            <w:pPr>
              <w:spacing w:after="100"/>
            </w:pPr>
            <w:r>
              <w:rPr>
                <w:rFonts w:ascii="Arial" w:cs="Arial" w:eastAsia="Arial" w:hAnsi="Arial"/>
                <w:b/>
                <w:bCs/>
                <w:color w:val="059669"/>
                <w:sz w:val="20"/>
                <w:szCs w:val="20"/>
              </w:rPr>
              <w:t xml:space="preserve">Psyrcuit LLC attests that Metal Finishing Calculator:</w:t>
            </w:r>
          </w:p>
          <w:p>
            <w:r>
              <w:rPr>
                <w:rFonts w:ascii="Arial" w:cs="Arial" w:eastAsia="Arial" w:hAnsi="Arial"/>
                <w:sz w:val="18"/>
                <w:szCs w:val="18"/>
              </w:rPr>
              <w:t xml:space="preserve">✓ Contains no telemetry, analytics, or usage tracking code</w:t>
            </w:r>
          </w:p>
          <w:p>
            <w:r>
              <w:rPr>
                <w:rFonts w:ascii="Arial" w:cs="Arial" w:eastAsia="Arial" w:hAnsi="Arial"/>
                <w:sz w:val="18"/>
                <w:szCs w:val="18"/>
              </w:rPr>
              <w:t xml:space="preserve">✓ Makes no network connections of any kind</w:t>
            </w:r>
          </w:p>
          <w:p>
            <w:r>
              <w:rPr>
                <w:rFonts w:ascii="Arial" w:cs="Arial" w:eastAsia="Arial" w:hAnsi="Arial"/>
                <w:sz w:val="18"/>
                <w:szCs w:val="18"/>
              </w:rPr>
              <w:t xml:space="preserve">✓ Stores all data locally on customer-controlled systems</w:t>
            </w:r>
          </w:p>
          <w:p>
            <w:r>
              <w:rPr>
                <w:rFonts w:ascii="Arial" w:cs="Arial" w:eastAsia="Arial" w:hAnsi="Arial"/>
                <w:sz w:val="18"/>
                <w:szCs w:val="18"/>
              </w:rPr>
              <w:t xml:space="preserve">✓ Does not collect, transmit, or process personal information</w:t>
            </w:r>
          </w:p>
          <w:p>
            <w:r>
              <w:rPr>
                <w:rFonts w:ascii="Arial" w:cs="Arial" w:eastAsia="Arial" w:hAnsi="Arial"/>
                <w:sz w:val="18"/>
                <w:szCs w:val="18"/>
              </w:rPr>
              <w:t xml:space="preserve">✓ Can operate indefinitely without vendor contact</w:t>
            </w:r>
          </w:p>
          <w:p>
            <w:r>
              <w:rPr>
                <w:rFonts w:ascii="Arial" w:cs="Arial" w:eastAsia="Arial" w:hAnsi="Arial"/>
                <w:sz w:val="18"/>
                <w:szCs w:val="18"/>
              </w:rPr>
              <w:t xml:space="preserve">✓ Is suitable for air-gapped, ITAR, and CUI environments</w:t>
            </w:r>
          </w:p>
          <w:p>
            <w:r>
              <w:rPr>
                <w:rFonts w:ascii="Arial" w:cs="Arial" w:eastAsia="Arial" w:hAnsi="Arial"/>
                <w:sz w:val="18"/>
                <w:szCs w:val="18"/>
              </w:rPr>
              <w:t xml:space="preserve">✓ Uses only permissively-licensed third-party components (MIT, LGPL)</w:t>
            </w:r>
          </w:p>
        </w:tc>
      </w:tr>
    </w:tbl>
    <w:p>
      <w:pPr>
        <w:spacing w:before="300"/>
      </w:pPr>
    </w:p>
    <w:p>
      <w:pPr>
        <w:pStyle w:val="Heading1"/>
      </w:pPr>
      <w:r>
        <w:t xml:space="preserve">14. Related Documentation</w:t>
      </w:r>
    </w:p>
    <w:p>
      <w:pPr>
        <w:spacing w:after="100"/>
      </w:pPr>
      <w:r>
        <w:rPr>
          <w:rFonts w:ascii="Arial" w:cs="Arial" w:eastAsia="Arial" w:hAnsi="Arial"/>
          <w:sz w:val="20"/>
          <w:szCs w:val="20"/>
        </w:rPr>
        <w:t xml:space="preserve">The following documents provide additional detail on specific security topics: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4500"/>
        <w:gridCol w:w="5580"/>
      </w:tblGrid>
      <w:tr>
        <w:tc>
          <w:tcPr>
            <w:tcW w:type="dxa" w:w="4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Document</w:t>
            </w:r>
          </w:p>
        </w:tc>
        <w:tc>
          <w:tcPr>
            <w:tcW w:type="dxa" w:w="55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Description</w:t>
            </w:r>
          </w:p>
        </w:tc>
      </w:tr>
      <w:tr>
        <w:tc>
          <w:tcPr>
            <w:tcW w:type="dxa" w:w="4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Product Security Overview</w:t>
            </w:r>
          </w:p>
        </w:tc>
        <w:tc>
          <w:tcPr>
            <w:tcW w:type="dxa" w:w="55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Executive summary of security architecture</w:t>
            </w:r>
          </w:p>
        </w:tc>
      </w:tr>
      <w:tr>
        <w:tc>
          <w:tcPr>
            <w:tcW w:type="dxa" w:w="4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Data Handling Specification</w:t>
            </w:r>
          </w:p>
        </w:tc>
        <w:tc>
          <w:tcPr>
            <w:tcW w:type="dxa" w:w="55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Detailed data flow and storage documentation</w:t>
            </w:r>
          </w:p>
        </w:tc>
      </w:tr>
      <w:tr>
        <w:tc>
          <w:tcPr>
            <w:tcW w:type="dxa" w:w="4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NIST 800-171 Responsibility Matrix</w:t>
            </w:r>
          </w:p>
        </w:tc>
        <w:tc>
          <w:tcPr>
            <w:tcW w:type="dxa" w:w="55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Control-by-control responsibility mapping</w:t>
            </w:r>
          </w:p>
        </w:tc>
      </w:tr>
      <w:tr>
        <w:tc>
          <w:tcPr>
            <w:tcW w:type="dxa" w:w="4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Configuration &amp; Hardening Guide</w:t>
            </w:r>
          </w:p>
        </w:tc>
        <w:tc>
          <w:tcPr>
            <w:tcW w:type="dxa" w:w="55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Installation and security configuration</w:t>
            </w:r>
          </w:p>
        </w:tc>
      </w:tr>
      <w:tr>
        <w:tc>
          <w:tcPr>
            <w:tcW w:type="dxa" w:w="4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Software Bill of Materials</w:t>
            </w:r>
          </w:p>
        </w:tc>
        <w:tc>
          <w:tcPr>
            <w:tcW w:type="dxa" w:w="55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Complete component inventory with licenses</w:t>
            </w:r>
          </w:p>
        </w:tc>
      </w:tr>
      <w:tr>
        <w:tc>
          <w:tcPr>
            <w:tcW w:type="dxa" w:w="4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Third-Party Component Attestation</w:t>
            </w:r>
          </w:p>
        </w:tc>
        <w:tc>
          <w:tcPr>
            <w:tcW w:type="dxa" w:w="55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i w:val="false"/>
                <w:iCs w:val="false"/>
                <w:color w:val="000000"/>
                <w:sz w:val="18"/>
                <w:szCs w:val="18"/>
              </w:rPr>
              <w:t xml:space="preserve">Formal attestation on component sourcing</w:t>
            </w:r>
          </w:p>
        </w:tc>
      </w:tr>
    </w:tbl>
    <w:p>
      <w:pPr>
        <w:spacing w:before="400"/>
      </w:pPr>
    </w:p>
    <w:p>
      <w:pPr>
        <w:jc w:val="center"/>
      </w:pPr>
      <w:r>
        <w:rPr>
          <w:rFonts w:ascii="Arial" w:cs="Arial" w:eastAsia="Arial" w:hAnsi="Arial"/>
          <w:color w:val="6B7280"/>
          <w:sz w:val="18"/>
          <w:szCs w:val="18"/>
        </w:rPr>
        <w:t xml:space="preserve">For questions about this questionnaire: security@psyrcuit.com</w:t>
      </w:r>
    </w:p>
    <w:p>
      <w:pPr>
        <w:jc w:val="center"/>
      </w:pPr>
      <w:r>
        <w:rPr>
          <w:rFonts w:ascii="Arial" w:cs="Arial" w:eastAsia="Arial" w:hAnsi="Arial"/>
          <w:color w:val="6B7280"/>
          <w:sz w:val="18"/>
          <w:szCs w:val="18"/>
        </w:rPr>
        <w:t xml:space="preserve">Psyrcuit LLC  •  Tucson, Arizona  •  psyrcuit.com</w:t>
      </w:r>
    </w:p>
    <w:sectPr>
      <w:headerReference w:type="default" r:id="rId6"/>
      <w:footerReference w:type="default" r:id="rId7"/>
      <w:pgSz w:w="12240" w:h="15840" w:orient="portrait"/>
      <w:pgMar w:top="1200" w:right="1080" w:bottom="1200" w:left="108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rPr>
        <w:rFonts w:ascii="Arial" w:cs="Arial" w:eastAsia="Arial" w:hAnsi="Arial"/>
        <w:color w:val="6B7280"/>
        <w:sz w:val="16"/>
        <w:szCs w:val="16"/>
      </w:rPr>
      <w:t xml:space="preserve">Psyrcuit LLC  |  Confidential  |  Page </w:t>
    </w:r>
    <w:r>
      <w:rPr>
        <w:rFonts w:ascii="Arial" w:cs="Arial" w:eastAsia="Arial" w:hAnsi="Arial"/>
        <w:color w:val="6B7280"/>
        <w:sz w:val="16"/>
        <w:szCs w:val="16"/>
      </w:rPr>
      <w:fldChar w:fldCharType="begin"/>
      <w:instrText xml:space="preserve">PAGE</w:instrText>
      <w:fldChar w:fldCharType="separate"/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<w:p>
    <w:pPr>
      <w:jc w:val="right"/>
    </w:pPr>
    <w:r>
      <w:rPr>
        <w:rFonts w:ascii="Arial" w:cs="Arial" w:eastAsia="Arial" w:hAnsi="Arial"/>
        <w:color w:val="6B7280"/>
        <w:sz w:val="16"/>
        <w:szCs w:val="16"/>
      </w:rPr>
      <w:t xml:space="preserve">Metal Finishing Calculator v3.0.0</w:t>
    </w:r>
    <w:r>
      <w:rPr>
        <w:rFonts w:ascii="Arial" w:cs="Arial" w:eastAsia="Arial" w:hAnsi="Arial"/>
        <w:color w:val="6B7280"/>
        <w:sz w:val="16"/>
        <w:szCs w:val="16"/>
      </w:rPr>
      <w:t xml:space="preserve">  |  </w:t>
    </w:r>
    <w:r>
      <w:rPr>
        <w:rFonts w:ascii="Arial" w:cs="Arial" w:eastAsia="Arial" w:hAnsi="Arial"/>
        <w:color w:val="6B7280"/>
        <w:sz w:val="16"/>
        <w:szCs w:val="16"/>
      </w:rPr>
      <w:t xml:space="preserve">Vendor Security Questionnaire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paragraph" w:styleId="Heading1">
    <w:name w:val="Heading 1"/>
    <w:basedOn w:val="Normal"/>
    <w:next w:val="Normal"/>
    <w:qFormat/>
    <w:pPr>
      <w:spacing w:before="300" w:after="100"/>
      <w:outlineLvl w:val="0"/>
    </w:pPr>
    <w:rPr>
      <w:rFonts w:ascii="Arial" w:cs="Arial" w:eastAsia="Arial" w:hAnsi="Arial"/>
      <w:b/>
      <w:bCs/>
      <w:color w:val="6B21A8"/>
      <w:sz w:val="28"/>
      <w:szCs w:val="28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word/_rels/header1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2026-01-30T18:22:31.269Z</dcterms:created>
  <dcterms:modified xsi:type="dcterms:W3CDTF">2026-01-30T18:22:31.270Z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